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RESPOSTAS DO PREFEITO ÀS INDICAÇÕES E REQUERIMENTOS DE PEDIDO DE INFORMAÇÃO DA COMISSÃO DE ORÇAMENTO E FINANÇAS PÚBLICAS, ORIGINÁRIOS DE SUGESTÕES POPULARES APRESENTADAS AOS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PROJETOS DE LEIS  NºS 866/19 (PPAG) e 867/19 (LOA)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1545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44"/>
        <w:gridCol w:w="1700"/>
        <w:gridCol w:w="11308"/>
      </w:tblGrid>
      <w:tr>
        <w:trPr>
          <w:tblHeader w:val="true"/>
        </w:trPr>
        <w:tc>
          <w:tcPr>
            <w:tcW w:w="24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b/>
                <w:strike w:val="false"/>
                <w:dstrike w:val="false"/>
              </w:rPr>
              <w:t>PROPOSIÇÃO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b/>
                <w:strike w:val="false"/>
                <w:dstrike w:val="false"/>
              </w:rPr>
              <w:t>SUGESTÃO POPULAR</w:t>
            </w:r>
          </w:p>
        </w:tc>
        <w:tc>
          <w:tcPr>
            <w:tcW w:w="113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b/>
                <w:strike w:val="false"/>
                <w:dstrike w:val="false"/>
              </w:rPr>
              <w:t xml:space="preserve">RESPOSTA 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194/2019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1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bookmarkStart w:id="0" w:name="__DdeLink__2482_4215264734"/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  <w:bookmarkEnd w:id="0"/>
          </w:p>
        </w:tc>
      </w:tr>
      <w:tr>
        <w:trPr/>
        <w:tc>
          <w:tcPr>
            <w:tcW w:w="24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195/2019</w:t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2</w:t>
            </w:r>
          </w:p>
        </w:tc>
        <w:tc>
          <w:tcPr>
            <w:tcW w:w="113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196/2019</w:t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3</w:t>
            </w:r>
          </w:p>
        </w:tc>
        <w:tc>
          <w:tcPr>
            <w:tcW w:w="113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bookmarkStart w:id="1" w:name="__DdeLink__477_1513765493"/>
            <w:bookmarkStart w:id="2" w:name="__DdeLink__7168_3424425962"/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  <w:bookmarkEnd w:id="1"/>
            <w:bookmarkEnd w:id="2"/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197/2019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4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Consultada, a Secretaria Municipal de Saúde – SMSA informa que existe a recomendação de abertura de um CERSAM Centro-Sul, prevista no PPAG. O custo mensal de um CERSAM não é totalmente coberto pelo repasse do Ministério da Saúde, havendo uma grande defasagem nesse sentido. Assim sendo, para 2020 não há previsão de abertura da unidade.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198/2019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5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199/2019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6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200/2019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7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201/2019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 xml:space="preserve">8 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202/2019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10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203/2019</w:t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11</w:t>
            </w:r>
          </w:p>
        </w:tc>
        <w:tc>
          <w:tcPr>
            <w:tcW w:w="113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204/2019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12 e 22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205/2019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15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206/2019</w:t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18</w:t>
            </w:r>
          </w:p>
        </w:tc>
        <w:tc>
          <w:tcPr>
            <w:tcW w:w="113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207/2019</w:t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21</w:t>
            </w:r>
          </w:p>
        </w:tc>
        <w:tc>
          <w:tcPr>
            <w:tcW w:w="113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>
          <w:trHeight w:val="2385" w:hRule="atLeast"/>
        </w:trPr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208/2019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26 e 78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Consultada, a Secretaria Municipal de Educação - SMED, informa que o censo Escolar de 2018 aponta que apenas 48,3% das EMEls de Belo Horizonte possuem esse tipo de laboratório em suas dependências, ou seja, 92 escolas se encontram marginalizadas da possibilidade de metodologias inovadoras para o ensino fundamental. Cabe ressaltar que esse tipo de instalação é amplamente defendido em pesquisas de metodologias de ensino, como a de Lícia Zimmerman (2005). Ela ressalta a importância do contato com o laboratório de ciências, principalmente nas séries iniciais do Ensino Fundamental, para que o aluno tome gosto pela prática científica, despertando seu interesse por todas as áreas do conhecimento humano: humanas, natureza, matemática e linguagens. Encontra-se, também, na versão final da Base Nacional Comum Curricular -- BNCC, na orientação para o ensino fundamental de Ciências da Natureza, a recomendação de que é imprescindível que os estudantes sejam progressivamente estimulados e apoiados no planejamento e na realização cooperativa de atividades investigativas, bem como no compartilhamento dos resultados dessas investigações. Isso não significa realizar atividades seguindo, necessariamente, um conjunto de etapas predefinidas, tampouco se restringir à mera manipulação de objetos ou realização de experimentos em laboratório. Para construir um espaço que contemple esse tipo de instalação, é necessário que a SMED aponte quais escolas já possuem espaços adequados para o laboratório de ciências e quais necessitam de reformas e ampliações em sua infraestrutura.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209/2019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27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210/2019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29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211/2019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30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212/2019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31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213/2019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32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214/2019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33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215/2019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34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217/2019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38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216/2019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36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218/2019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39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219/2019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40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220/2019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42 e 43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221/2019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44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222/2019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45 e 46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223/2019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47, 49 e 51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224/2019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48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225/2019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50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 xml:space="preserve">Consultada, a Secretaria Municipal de Saúde informa que é favorável à criação da Subação “INICIATIVAS DE PROMOÇÃO DE CULTURA E LAZER PARA USUÁRIOS DE SAÚDE MENTAL” na ação 2891. Informa, também, que para o alcance da meta é necessário o repasse financeiro para essa ação. Atualmente conta com recurso para levar 100 usuários ao cinema por mês, além de serem procuradas atividades culturais gratuitas para ir com os usuários. 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226/2019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52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227/2019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53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228/2019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54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Consultada, a Secretaria Municipal de Saúde informa que, de acordo com a recente legislação sobre repasses do Fundo Nacional de Saúde para os Fundos Municipais de Saúde, os recursos transferidos rotineiramente não podem ser utilizados para essa finalidade.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229/2019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55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230/2019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57, 58, 62 e 66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231/2019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59 e 60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 xml:space="preserve">Consultada, a Secretaria Municipal de Saúde - SMSA informa que, conceitualmente, guarda responsável é a condição na qual o proprietário supre todas as necessidades ambientais, físicas e psicológicas do animal e evita que ele provoque acidentes, transmita doenças ou cause quaisquer danos à comunidade e ao meio ambiente. Em outras palavras, traduz as noções de respeito e ética para com os animais de estimação de uma sociedade e torna-se parte fundamental na interação homem-animal por abranger as práticas de bem-estar animal, o desenvolvimento da consciência da dependência animal pelo ser humano e, consequentemente, os riscos e cuidados necessários a essa relação. A guarda responsável configura-se como o carro-chefe de todo o Programa de Manejo de População de Cães e Gatos. 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 xml:space="preserve">Considerando a importância e abrangência desse componente, a SMSA firmou parcelas com a Secretaria Municipal de Educação SMED para inserção do tema "Guarda Responsável” no Programa Saúde na Escola (PSE). Técnicos da Diretoria de Zoonoses, juntamente com a equipe de mobilização da SMSA (Mobiliza SUS), realizam palestras sobre o tema em locais e escotas públicas, a fim de sensibilizar as crianças sobre o tema. É essencial que se introduzam as crianças na educação para guarda responsável, visto que esse é o principal meio para efetivamente transformar a conduta agressiva e violenta em humanitária, fazendo com que o exemplo negativo não se perpetue às demais gerações. 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 xml:space="preserve">A ampliação de ações educativas é fundamental, inclusive com fiscalização em relação à proteção da fauna urbana, defesa e proteção dos animais, prerrogativas da Gerência de Defesa dos Animais - GEDAN da Secretaria Municipal de Meio Ambiente - SMMA. Sob a ótica da saúde única, parcerias estão sendo desenvolvidas e busca-se sua ampliação no intuito de trabalhar esse componente tão importante de forma mais abrangente e efetiva. Esses referidos componentes terão sua implantação discutida e planejada em parceria com a SMMA. Através do Decreto Municipal nº 16.269, de 31 de março de 2016, foi criada a GEDAN na SMMA, com as seguintes competências: 1) gerenciar projetos e programas voltados à proteção da fauna urbana e silvestre; 2) desenvolver normas relativas às políticas públicas voltadas à defesa e proteção dos animais; 3) buscar parcerias com outros órgãos da administração pública e entidades da sociedade civil para projetos de defesa dos animais. De acordo com o conceito de Saúde Única, é imprescindível um trabalho conjunto entre a SMSA e a SMMA. Articulações estão sendo realizadas entre essas secretarias a fim de que se busquem novas alternativas para o manejo da fauna urbana de Belo Horizonte, principalmente a de cães e gatos. 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232/2019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61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233/2019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63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234/2019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64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235/2019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68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236/2019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69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237/2019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70 e 71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238/2019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72 e 73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239/2019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74 e 75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240/2019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76 e 77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241/2019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79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242/2019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80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/>
            </w:pPr>
            <w:r>
              <w:rPr>
                <w:rFonts w:cs="Arial" w:ascii="Arial" w:hAnsi="Arial"/>
                <w:strike w:val="false"/>
                <w:dstrike w:val="false"/>
              </w:rPr>
              <w:t>O Prefeito, por meio da Secretaria Municipal de Assuntos Institucionais e Comunicação Social, informa que estará, sim, levando em consideração a sugestão proposta, ressaltando a importância da proposição legislativa apresentada, que reforça, sobremaneira, a efetiva participação, interesse e compromisso do parlamentar autor com a constante melhora da cidade, bem-estar e qualidade de vida dos munícipes e com a boa gestão e prestação de serviços públicos em Belo Horizonte.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Indicação nº 243/2019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 w:cs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81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ascii="Arial" w:hAnsi="Arial"/>
                <w:strike w:val="false"/>
                <w:dstrike w:val="false"/>
              </w:rPr>
              <w:t>Aguardando resposta.</w:t>
            </w:r>
          </w:p>
        </w:tc>
      </w:tr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Requerimento nº 1.382/2019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19 e 35</w:t>
            </w:r>
          </w:p>
        </w:tc>
        <w:tc>
          <w:tcPr>
            <w:tcW w:w="1130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/>
                <w:strike w:val="false"/>
                <w:dstrike w:val="false"/>
              </w:rPr>
            </w:pPr>
            <w:r>
              <w:rPr>
                <w:rFonts w:cs="Arial" w:ascii="Arial" w:hAnsi="Arial"/>
                <w:strike w:val="false"/>
                <w:dstrike w:val="false"/>
              </w:rPr>
              <w:t>O referido requerimento foi encaminhado à SMSA e analisado pela Gerência de Promoção à Saúde (GEPSA). Em resumo, a manifestação expõe a importância e a relevância do Programa de Controle do Tabagismo, apresenta as estratégias de implementação das ações e informa que o aumento da meta de usuários com dispensação de medicamentos para a cessação do tabagismo é de 10% (dez por cento) anualmente. Quando do envio da elaboração da meta para consolidação do Projeto de Lei de Revisão PPAG 2020-2021, utilizou-se a meta de 2019 (3.100 usuários) acrescendo-se 10% ao ano para os exercidos de 2020 e 2021 Destaca-se ainda que, em relação à execução da meta, dados apurados em janeiro de 2020 indicaram 6.077 usuários com dispensação de medicamentos em 2019. Por fim, ressalte-se que a meta física almejada pela SMSA em seus procedimentos internos mantém-se em incremento anual de 10% do número de usuários com dispensação de medicamentos para a cessação do tabagismo.</w:t>
            </w:r>
          </w:p>
        </w:tc>
      </w:tr>
    </w:tbl>
    <w:p>
      <w:pPr>
        <w:pStyle w:val="Normal"/>
        <w:spacing w:lineRule="auto" w:line="240" w:before="60" w:after="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73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826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2899-1435-4767-B139-62178E49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Application>LibreOffice/6.3.4.2$Windows_X86_64 LibreOffice_project/60da17e045e08f1793c57c00ba83cdfce946d0aa</Application>
  <Pages>7</Pages>
  <Words>2911</Words>
  <Characters>16790</Characters>
  <CharactersWithSpaces>19550</CharactersWithSpaces>
  <Paragraphs>160</Paragraphs>
  <Company>CMBH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2020-01-24T17:02:00Z</dcterms:created>
  <dc:creator>Helenice Vieira</dc:creator>
  <dc:description/>
  <dc:language>pt-BR</dc:language>
  <cp:lastModifiedBy/>
  <dcterms:modified xsi:type="dcterms:W3CDTF">2020-03-09T14:30:42Z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